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6F42D">
      <w:pPr>
        <w:topLinePunct/>
        <w:adjustRightInd w:val="0"/>
        <w:snapToGrid w:val="0"/>
        <w:spacing w:line="560" w:lineRule="exact"/>
        <w:rPr>
          <w:rFonts w:ascii="仿宋_GB2312" w:hAnsi="黑体" w:eastAsia="仿宋_GB2312" w:cs="黑体"/>
          <w:color w:val="000000"/>
          <w:sz w:val="32"/>
          <w:szCs w:val="32"/>
        </w:rPr>
      </w:pPr>
      <w:bookmarkStart w:id="2" w:name="_GoBack"/>
      <w:bookmarkEnd w:id="2"/>
      <w:bookmarkStart w:id="0" w:name="_Hlk54466636"/>
      <w:r>
        <w:rPr>
          <w:rFonts w:hint="eastAsia" w:ascii="仿宋_GB2312" w:hAnsi="黑体" w:eastAsia="仿宋_GB2312" w:cs="黑体"/>
          <w:sz w:val="32"/>
          <w:szCs w:val="32"/>
        </w:rPr>
        <w:t>附件1</w:t>
      </w:r>
    </w:p>
    <w:p w14:paraId="0D9966D5"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兰州大学本科毕业论文（设计）“文字</w:t>
      </w:r>
    </w:p>
    <w:p w14:paraId="42D6936F">
      <w:pPr>
        <w:topLinePunct/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复制比”检测及处理实施细则</w:t>
      </w:r>
    </w:p>
    <w:bookmarkEnd w:id="0"/>
    <w:p w14:paraId="21718084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第一章  总  则</w:t>
      </w:r>
    </w:p>
    <w:p w14:paraId="74670C94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为维护学术道德和学术规范的严肃性，加强学术诚信教育和学风建设，营造学术诚信氛围，规范本科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毕业论文（设计）管理，防范和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毕业论文（设计）学术不端行为发生，特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制定本办法。</w:t>
      </w:r>
    </w:p>
    <w:p w14:paraId="2202EFE1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宋体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第二条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学校坚持加强对毕业论文</w:t>
      </w:r>
      <w:bookmarkStart w:id="1" w:name="_Hlk53823675"/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bookmarkEnd w:id="1"/>
      <w:r>
        <w:rPr>
          <w:rFonts w:hint="eastAsia" w:ascii="仿宋_GB2312" w:hAnsi="仿宋" w:eastAsia="仿宋_GB2312"/>
          <w:sz w:val="32"/>
          <w:szCs w:val="32"/>
          <w:lang w:val="zh-CN"/>
        </w:rPr>
        <w:t>进行“文字复制比”检测（以下简称“毕业论文检测”），严防学术不端，严肃处理学术不端行为。</w:t>
      </w:r>
    </w:p>
    <w:p w14:paraId="431A0AB0">
      <w:pPr>
        <w:topLinePunct/>
        <w:adjustRightInd w:val="0"/>
        <w:snapToGrid w:val="0"/>
        <w:spacing w:line="540" w:lineRule="exact"/>
        <w:ind w:firstLine="643" w:firstLineChars="200"/>
        <w:jc w:val="both"/>
        <w:rPr>
          <w:rFonts w:ascii="仿宋_GB2312" w:eastAsia="仿宋_GB2312"/>
          <w:sz w:val="32"/>
          <w:szCs w:val="32"/>
          <w:highlight w:val="yellow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第三条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本办法中“文字复制比”检测对象为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全日制本科专业人才培养方案要求的主修和辅修本科专业、学士学位的毕业论文（设计）、学位论文。</w:t>
      </w:r>
    </w:p>
    <w:p w14:paraId="3F2D80DC"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第四条</w:t>
      </w:r>
      <w:r>
        <w:rPr>
          <w:rFonts w:ascii="仿宋_GB2312" w:hAnsi="仿宋" w:eastAsia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学术不端行为按照兰州大学学位论文作假行为处理办法实施细则、本科生学籍管理办法等有关规定处理。</w:t>
      </w:r>
    </w:p>
    <w:p w14:paraId="10BBD9E1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第二章  毕业论文（设计）检测标准</w:t>
      </w:r>
    </w:p>
    <w:p w14:paraId="62AA7880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要求：</w:t>
      </w:r>
    </w:p>
    <w:p w14:paraId="775F8FC1"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" w:eastAsia="仿宋_GB2312"/>
          <w:sz w:val="32"/>
          <w:szCs w:val="32"/>
          <w:lang w:val="zh-CN"/>
        </w:rPr>
      </w:pPr>
      <w:r>
        <w:rPr>
          <w:rFonts w:hint="eastAsia" w:ascii="仿宋_GB2312" w:hAnsi="仿宋" w:eastAsia="仿宋_GB2312"/>
          <w:sz w:val="32"/>
          <w:szCs w:val="32"/>
          <w:lang w:val="zh-CN"/>
        </w:rPr>
        <w:t>（一）毕业论文（设计）检测分为答辩前检测和答辩后检测。</w:t>
      </w:r>
    </w:p>
    <w:p w14:paraId="35B20E0D">
      <w:pPr>
        <w:adjustRightInd w:val="0"/>
        <w:snapToGrid w:val="0"/>
        <w:spacing w:line="540" w:lineRule="exact"/>
        <w:ind w:firstLine="66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检测内容主要为毕业论文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的主体部分，即删除毕业论文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的封面、诚信责任书、使用授权声明、参考文献、附录、致谢后的论文部分。</w:t>
      </w:r>
    </w:p>
    <w:p w14:paraId="3EBD2DBB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（三）提交检测的毕业论文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应为WORD或PDF格式文件，命名格式：学院名称_学号_作者姓名。</w:t>
      </w:r>
    </w:p>
    <w:p w14:paraId="1612A59C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（四）学院须对检测的毕业论文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进行形式审查，为语句通顺、结构完整、格式规范的毕业论文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D935DE5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第六条</w:t>
      </w:r>
      <w:r>
        <w:rPr>
          <w:rFonts w:hint="eastAsia" w:ascii="仿宋_GB2312" w:hAnsi="楷体_GB2312" w:eastAsia="仿宋_GB2312" w:cs="楷体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毕业论文检测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标准：</w:t>
      </w:r>
    </w:p>
    <w:p w14:paraId="5B3E17FC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文字复制比例检测标准（以下简称“检测标准”）包括答辩前检测标准和答辩后检测标准。设定P和F两个数值作为检测的判断标准，按如下流程和规则处理。</w:t>
      </w:r>
    </w:p>
    <w:p w14:paraId="0626560B">
      <w:pPr>
        <w:adjustRightInd w:val="0"/>
        <w:snapToGrid w:val="0"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答辩前第1次检测：</w:t>
      </w:r>
    </w:p>
    <w:tbl>
      <w:tblPr>
        <w:tblStyle w:val="7"/>
        <w:tblpPr w:leftFromText="45" w:rightFromText="45" w:vertAnchor="text" w:tblpXSpec="center"/>
        <w:tblW w:w="844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80"/>
        <w:gridCol w:w="2418"/>
        <w:gridCol w:w="3548"/>
      </w:tblGrid>
      <w:tr w14:paraId="25428F7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CCBD32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1F7996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A9644F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备注</w:t>
            </w:r>
          </w:p>
        </w:tc>
      </w:tr>
      <w:tr w14:paraId="63222F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17701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DB707B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C823315"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15F28EC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5EBB13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P%&lt;N≤F%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43A30A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暂缓通过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4820C9D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可申请第2次检测</w:t>
            </w:r>
          </w:p>
        </w:tc>
      </w:tr>
      <w:tr w14:paraId="3CF57D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6B9DD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N&gt;F%</w:t>
            </w:r>
          </w:p>
        </w:tc>
        <w:tc>
          <w:tcPr>
            <w:tcW w:w="24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E12F271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  <w:tc>
          <w:tcPr>
            <w:tcW w:w="3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57BB7EA">
            <w:pPr>
              <w:adjustRightInd w:val="0"/>
              <w:snapToGrid w:val="0"/>
              <w:spacing w:line="240" w:lineRule="auto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 w14:paraId="3E275AB9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答辩前第2次检测：</w:t>
      </w:r>
    </w:p>
    <w:tbl>
      <w:tblPr>
        <w:tblStyle w:val="8"/>
        <w:tblW w:w="8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3"/>
        <w:gridCol w:w="4211"/>
      </w:tblGrid>
      <w:tr w14:paraId="19FE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 w14:paraId="7D76938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211" w:type="dxa"/>
            <w:vAlign w:val="center"/>
          </w:tcPr>
          <w:p w14:paraId="735FE60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 w14:paraId="3F119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 w14:paraId="1E2858CD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211" w:type="dxa"/>
            <w:vAlign w:val="center"/>
          </w:tcPr>
          <w:p w14:paraId="09AE2C3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 w14:paraId="155F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83" w:type="dxa"/>
            <w:vAlign w:val="center"/>
          </w:tcPr>
          <w:p w14:paraId="7F43321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211" w:type="dxa"/>
            <w:vAlign w:val="center"/>
          </w:tcPr>
          <w:p w14:paraId="7D5DF84D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 w14:paraId="47F8E83C"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答辩后检测：</w:t>
      </w:r>
    </w:p>
    <w:tbl>
      <w:tblPr>
        <w:tblStyle w:val="8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8"/>
        <w:gridCol w:w="4153"/>
      </w:tblGrid>
      <w:tr w14:paraId="72EFD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 w14:paraId="55408E6D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检测比例</w:t>
            </w:r>
          </w:p>
        </w:tc>
        <w:tc>
          <w:tcPr>
            <w:tcW w:w="4153" w:type="dxa"/>
            <w:vAlign w:val="center"/>
          </w:tcPr>
          <w:p w14:paraId="087C03C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检测结果</w:t>
            </w:r>
          </w:p>
        </w:tc>
      </w:tr>
      <w:tr w14:paraId="5443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 w14:paraId="5133878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N≤P%</w:t>
            </w:r>
          </w:p>
        </w:tc>
        <w:tc>
          <w:tcPr>
            <w:tcW w:w="4153" w:type="dxa"/>
            <w:vAlign w:val="center"/>
          </w:tcPr>
          <w:p w14:paraId="209375F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通过</w:t>
            </w:r>
          </w:p>
        </w:tc>
      </w:tr>
      <w:tr w14:paraId="45F44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4238" w:type="dxa"/>
            <w:vAlign w:val="center"/>
          </w:tcPr>
          <w:p w14:paraId="73EF360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N&gt;P%</w:t>
            </w:r>
          </w:p>
        </w:tc>
        <w:tc>
          <w:tcPr>
            <w:tcW w:w="4153" w:type="dxa"/>
            <w:vAlign w:val="center"/>
          </w:tcPr>
          <w:p w14:paraId="44B085E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不通过</w:t>
            </w:r>
          </w:p>
        </w:tc>
      </w:tr>
    </w:tbl>
    <w:p w14:paraId="515CDCAE">
      <w:pPr>
        <w:shd w:val="clear" w:color="auto" w:fill="FFFFFF"/>
        <w:adjustRightInd w:val="0"/>
        <w:snapToGrid w:val="0"/>
        <w:spacing w:line="560" w:lineRule="exac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注：N为毕业论文（设计）文字复制比例。</w:t>
      </w:r>
    </w:p>
    <w:p w14:paraId="67F0FFCA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（二）学院（含研究院等教学单位，以下统称学院）根据自身专业特点制定检测标准P和F数值，检测标准须分别经学院教学指导分委员会和党政联席会讨论确定，学院制定的检测标准是毕业论文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检测是否通过的唯一依据。</w:t>
      </w:r>
    </w:p>
    <w:p w14:paraId="6518F33F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检测结果依据为“去除本人已发表文献复制比”，即被检测毕业论文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去除本人以第一作者（或指导教师第一作者，本人第二作者）发表学术成果的文字重合字数后占毕业论文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检测内容的百分比。</w:t>
      </w:r>
    </w:p>
    <w:p w14:paraId="5865A6D7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（四）学院应及时将毕业论文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检测标准及相关规定告知学生和指导教师。</w:t>
      </w:r>
    </w:p>
    <w:p w14:paraId="6174F2FB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第三章  组织实施及职责</w:t>
      </w:r>
    </w:p>
    <w:p w14:paraId="57DA6117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第七条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答辩前检测的范围为所有申请毕业论文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，答辩后检测的范围为所有答辩通过的学生得毕业论文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5843423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第八条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 xml:space="preserve"> 答辩前毕业论文（设计）检测：</w:t>
      </w:r>
    </w:p>
    <w:p w14:paraId="2557AB16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（一）答辩前检测工作由学院负责，教务处为学院设立分账户，根据毕业论文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数分配检测篇数。</w:t>
      </w:r>
    </w:p>
    <w:p w14:paraId="0E621D78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（二）学院应指定专人负责本单位毕业论文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检测工作。负责检测的工作人员应保证分账户的安全，严格执行学校相关规定，不得对本单位以外或其他不相关的论文进行检测。</w:t>
      </w:r>
    </w:p>
    <w:p w14:paraId="03A1FBEB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检测前，须经指导教师审核签字同意。</w:t>
      </w:r>
    </w:p>
    <w:p w14:paraId="6F2A08E9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检测：</w:t>
      </w:r>
    </w:p>
    <w:p w14:paraId="1B915AE9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检测工作由教务处统筹负责。</w:t>
      </w:r>
    </w:p>
    <w:p w14:paraId="681E896D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（二）学生提交毕业论文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检测前，须经指导教师审核签字同意，并保证提交的毕业论文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电子版本与纸质版本一致。</w:t>
      </w:r>
    </w:p>
    <w:p w14:paraId="6F7B56A4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（三）学生须在规定时间内向图书馆、档案馆及教务管理系统提交最终版本的毕业论文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电子版。无故逾期不提交毕业论文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者，其毕业论文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</w:t>
      </w:r>
    </w:p>
    <w:p w14:paraId="69B544A7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毕业论文（设计）检测结果及处理办法</w:t>
      </w:r>
    </w:p>
    <w:p w14:paraId="235C97CC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答辩前毕业论文（设计）检测处理办法：</w:t>
      </w:r>
    </w:p>
    <w:p w14:paraId="754F7563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检测结果为“通过”的，学生可直接参加毕业论文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评阅及答辩。</w:t>
      </w:r>
    </w:p>
    <w:p w14:paraId="11EE780F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检测结果为“不通过”或故意规避毕业论文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检测的，学生须对毕业论文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 w14:paraId="45A0DDC5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最多有2次检测机会。</w:t>
      </w:r>
    </w:p>
    <w:p w14:paraId="251495E8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楷体_GB2312" w:eastAsia="仿宋_GB2312" w:cs="楷体_GB2312"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第十一条 </w:t>
      </w:r>
      <w:r>
        <w:rPr>
          <w:rFonts w:hint="eastAsia" w:ascii="仿宋_GB2312" w:hAnsi="楷体_GB2312" w:eastAsia="仿宋_GB2312" w:cs="楷体_GB2312"/>
          <w:bCs/>
          <w:sz w:val="32"/>
          <w:szCs w:val="32"/>
        </w:rPr>
        <w:t>答辩后毕业论文（设计）检测处理办法：</w:t>
      </w:r>
    </w:p>
    <w:p w14:paraId="2EDBBE9A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成绩有效。</w:t>
      </w:r>
    </w:p>
    <w:p w14:paraId="24FDFD20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成绩无效，学生须对毕业论文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进行认真、必要的修改，下学期方可提出毕业论文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评阅和答辩申请。</w:t>
      </w:r>
    </w:p>
    <w:p w14:paraId="137422AE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（三）凡故意规避毕业论文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检测或存在学术不端行为的，学校将认定当次毕业论文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成绩无效。情节特别严重的，学校将根据有关规定给予取消毕业资格直至开除学籍处分。</w:t>
      </w:r>
    </w:p>
    <w:p w14:paraId="2FA603C6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（四）每篇毕业论文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仅有1次检测机会。</w:t>
      </w:r>
    </w:p>
    <w:p w14:paraId="1A7D60E1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教务处按年度以适当形式在校内公布毕业论文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（设计）“文字复制比”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检测结果。对答辩后毕业论文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检测结果为“不通过”的，按以下方式处理：</w:t>
      </w:r>
    </w:p>
    <w:p w14:paraId="365D6027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（一）质量约谈</w:t>
      </w:r>
    </w:p>
    <w:p w14:paraId="7162882F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当年度出现1%篇及以上毕业论文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检测结果为“不通过”的，学校约谈所在学院党政负责人及主管领导。</w:t>
      </w:r>
    </w:p>
    <w:p w14:paraId="3A83D60A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（二）质量告诫</w:t>
      </w:r>
    </w:p>
    <w:p w14:paraId="1A803E0C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当年度指导教师指导的2篇及以上毕业论文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检测结果为“不通过”的，或连续两个年度均出现毕业论文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检测结果为“不通过”的，学院须对指导教师告诫1次、对专业负责人约谈1次。取消被告诫教师当年度教学类奖项申报和评选资格。</w:t>
      </w:r>
    </w:p>
    <w:p w14:paraId="5E5B5801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（三）教学考核</w:t>
      </w:r>
    </w:p>
    <w:p w14:paraId="7A63A02F">
      <w:pPr>
        <w:adjustRightInd w:val="0"/>
        <w:snapToGrid w:val="0"/>
        <w:spacing w:line="54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学校将检测结果作为考核学院年度目标任务的内容之一。指导教师指导的毕业论文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出现1篇及以上检测结果为“不通过”的，指导教师当年度教学考核结果不能为“优秀”。</w:t>
      </w:r>
    </w:p>
    <w:p w14:paraId="16A0FF07">
      <w:pPr>
        <w:adjustRightInd w:val="0"/>
        <w:snapToGrid w:val="0"/>
        <w:spacing w:line="54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第四章  附  则</w:t>
      </w:r>
    </w:p>
    <w:p w14:paraId="16B5F253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第十三条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因提交的毕业论文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版本错误造成毕业论文</w:t>
      </w:r>
      <w:r>
        <w:rPr>
          <w:rFonts w:hint="eastAsia" w:ascii="仿宋_GB2312" w:hAnsi="仿宋" w:eastAsia="仿宋_GB2312"/>
          <w:sz w:val="32"/>
          <w:szCs w:val="32"/>
          <w:lang w:val="zh-CN"/>
        </w:rPr>
        <w:t>（设计）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检测未“通过”的，责任由学生本人承担。</w:t>
      </w:r>
    </w:p>
    <w:p w14:paraId="7E474AAD">
      <w:pPr>
        <w:adjustRightInd w:val="0"/>
        <w:snapToGrid w:val="0"/>
        <w:spacing w:line="540" w:lineRule="exact"/>
        <w:ind w:firstLine="643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“文字复制比”检测工作人员必须遵守学校保密规定及其他相关规定，严格遵守回避原则。</w:t>
      </w:r>
    </w:p>
    <w:p w14:paraId="2C71B67D">
      <w:pPr>
        <w:adjustRightInd w:val="0"/>
        <w:snapToGrid w:val="0"/>
        <w:spacing w:line="540" w:lineRule="exact"/>
        <w:ind w:firstLine="643" w:firstLineChars="200"/>
        <w:jc w:val="both"/>
      </w:pPr>
      <w:r>
        <w:rPr>
          <w:rFonts w:hint="eastAsia" w:ascii="仿宋_GB2312" w:hAnsi="仿宋" w:eastAsia="仿宋_GB2312"/>
          <w:b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本细则由教务处负责解释，学院可根据本办法制定实施细则。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B5"/>
    <w:rsid w:val="00350D1F"/>
    <w:rsid w:val="0048685D"/>
    <w:rsid w:val="00570898"/>
    <w:rsid w:val="00693A2C"/>
    <w:rsid w:val="006B0FD7"/>
    <w:rsid w:val="00A2402E"/>
    <w:rsid w:val="00AD6623"/>
    <w:rsid w:val="00BA6879"/>
    <w:rsid w:val="00D37AB5"/>
    <w:rsid w:val="00F212D0"/>
    <w:rsid w:val="15300484"/>
    <w:rsid w:val="2B11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1"/>
    <w:semiHidden/>
    <w:unhideWhenUsed/>
    <w:qFormat/>
    <w:uiPriority w:val="99"/>
  </w:style>
  <w:style w:type="paragraph" w:styleId="4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批注文字 字符"/>
    <w:basedOn w:val="9"/>
    <w:link w:val="3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批注框文本 字符"/>
    <w:basedOn w:val="9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basedOn w:val="9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5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2345</Words>
  <Characters>2367</Characters>
  <Lines>87</Lines>
  <Paragraphs>24</Paragraphs>
  <TotalTime>37</TotalTime>
  <ScaleCrop>false</ScaleCrop>
  <LinksUpToDate>false</LinksUpToDate>
  <CharactersWithSpaces>2395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2020-11-19T04:35:00Z</dcterms:created>
  <dc:creator>乔振峰</dc:creator>
  <cp:lastModifiedBy>槿花凉夏</cp:lastModifiedBy>
  <dcterms:modified xsi:type="dcterms:W3CDTF">2024-10-23T03:27:27Z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C41277372DF04EACB8EF2F6B29901422_13</vt:lpwstr>
  </property>
</Properties>
</file>